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1A678">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6F8BC22">
      <w:pPr>
        <w:spacing w:line="540" w:lineRule="exact"/>
        <w:jc w:val="center"/>
        <w:rPr>
          <w:rFonts w:ascii="方正小标宋_GBK" w:hAnsi="华文中宋" w:eastAsia="方正小标宋_GBK" w:cs="宋体"/>
          <w:b/>
          <w:kern w:val="0"/>
          <w:sz w:val="48"/>
          <w:szCs w:val="48"/>
        </w:rPr>
      </w:pPr>
    </w:p>
    <w:p w14:paraId="6D93975A">
      <w:pPr>
        <w:spacing w:line="540" w:lineRule="exact"/>
        <w:jc w:val="center"/>
        <w:rPr>
          <w:rFonts w:ascii="方正小标宋_GBK" w:hAnsi="华文中宋" w:eastAsia="方正小标宋_GBK" w:cs="宋体"/>
          <w:b/>
          <w:kern w:val="0"/>
          <w:sz w:val="48"/>
          <w:szCs w:val="48"/>
        </w:rPr>
      </w:pPr>
    </w:p>
    <w:p w14:paraId="2CE4597C">
      <w:pPr>
        <w:spacing w:line="540" w:lineRule="exact"/>
        <w:jc w:val="center"/>
        <w:rPr>
          <w:rFonts w:ascii="方正小标宋_GBK" w:hAnsi="华文中宋" w:eastAsia="方正小标宋_GBK" w:cs="宋体"/>
          <w:b/>
          <w:kern w:val="0"/>
          <w:sz w:val="48"/>
          <w:szCs w:val="48"/>
        </w:rPr>
      </w:pPr>
    </w:p>
    <w:p w14:paraId="79CFF627">
      <w:pPr>
        <w:spacing w:line="540" w:lineRule="exact"/>
        <w:jc w:val="center"/>
        <w:rPr>
          <w:rFonts w:ascii="方正小标宋_GBK" w:hAnsi="华文中宋" w:eastAsia="方正小标宋_GBK" w:cs="宋体"/>
          <w:b/>
          <w:kern w:val="0"/>
          <w:sz w:val="48"/>
          <w:szCs w:val="48"/>
        </w:rPr>
      </w:pPr>
    </w:p>
    <w:p w14:paraId="491537BF">
      <w:pPr>
        <w:spacing w:line="540" w:lineRule="exact"/>
        <w:jc w:val="center"/>
        <w:rPr>
          <w:rFonts w:ascii="方正小标宋_GBK" w:hAnsi="华文中宋" w:eastAsia="方正小标宋_GBK" w:cs="宋体"/>
          <w:b/>
          <w:kern w:val="0"/>
          <w:sz w:val="48"/>
          <w:szCs w:val="48"/>
        </w:rPr>
      </w:pPr>
    </w:p>
    <w:p w14:paraId="4F7191D0">
      <w:pPr>
        <w:spacing w:line="540" w:lineRule="exact"/>
        <w:jc w:val="center"/>
        <w:rPr>
          <w:rFonts w:ascii="方正小标宋_GBK" w:hAnsi="华文中宋" w:eastAsia="方正小标宋_GBK" w:cs="宋体"/>
          <w:b/>
          <w:kern w:val="0"/>
          <w:sz w:val="48"/>
          <w:szCs w:val="48"/>
        </w:rPr>
      </w:pPr>
    </w:p>
    <w:p w14:paraId="2F12B31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5A248A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756EBBBE">
      <w:pPr>
        <w:spacing w:line="540" w:lineRule="exact"/>
        <w:jc w:val="center"/>
        <w:rPr>
          <w:rFonts w:ascii="华文中宋" w:hAnsi="华文中宋" w:eastAsia="华文中宋" w:cs="宋体"/>
          <w:b/>
          <w:kern w:val="0"/>
          <w:sz w:val="52"/>
          <w:szCs w:val="52"/>
        </w:rPr>
      </w:pPr>
    </w:p>
    <w:p w14:paraId="4FB6F059">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4E0116B">
      <w:pPr>
        <w:spacing w:line="700" w:lineRule="exact"/>
        <w:jc w:val="left"/>
        <w:rPr>
          <w:rFonts w:hint="eastAsia" w:hAnsi="宋体" w:eastAsia="仿宋_GB2312" w:cs="宋体"/>
          <w:kern w:val="0"/>
          <w:sz w:val="36"/>
          <w:szCs w:val="36"/>
        </w:rPr>
      </w:pPr>
    </w:p>
    <w:p w14:paraId="2866C3AE">
      <w:pPr>
        <w:spacing w:line="700" w:lineRule="exact"/>
        <w:jc w:val="left"/>
        <w:rPr>
          <w:rFonts w:hint="eastAsia" w:hAnsi="宋体" w:eastAsia="仿宋_GB2312" w:cs="宋体"/>
          <w:kern w:val="0"/>
          <w:sz w:val="36"/>
          <w:szCs w:val="36"/>
        </w:rPr>
      </w:pPr>
    </w:p>
    <w:p w14:paraId="1C7ED972">
      <w:pPr>
        <w:spacing w:line="700" w:lineRule="exact"/>
        <w:jc w:val="left"/>
        <w:rPr>
          <w:rFonts w:hint="eastAsia" w:hAnsi="宋体" w:eastAsia="仿宋_GB2312" w:cs="宋体"/>
          <w:kern w:val="0"/>
          <w:sz w:val="36"/>
          <w:szCs w:val="36"/>
          <w:lang w:eastAsia="zh-CN"/>
        </w:rPr>
      </w:pPr>
    </w:p>
    <w:p w14:paraId="5EBA42B1">
      <w:pPr>
        <w:spacing w:line="700" w:lineRule="exact"/>
        <w:jc w:val="left"/>
        <w:rPr>
          <w:rFonts w:hint="eastAsia" w:hAnsi="宋体" w:eastAsia="仿宋_GB2312" w:cs="宋体"/>
          <w:kern w:val="0"/>
          <w:sz w:val="36"/>
          <w:szCs w:val="36"/>
          <w:lang w:eastAsia="zh-CN"/>
        </w:rPr>
      </w:pPr>
    </w:p>
    <w:p w14:paraId="2461F440">
      <w:pPr>
        <w:spacing w:line="700" w:lineRule="exact"/>
        <w:jc w:val="left"/>
        <w:rPr>
          <w:rFonts w:hint="eastAsia" w:hAnsi="宋体" w:eastAsia="仿宋_GB2312" w:cs="宋体"/>
          <w:kern w:val="0"/>
          <w:sz w:val="36"/>
          <w:szCs w:val="36"/>
          <w:lang w:eastAsia="zh-CN"/>
        </w:rPr>
      </w:pPr>
    </w:p>
    <w:p w14:paraId="01C683FF">
      <w:pPr>
        <w:spacing w:line="700" w:lineRule="exact"/>
        <w:jc w:val="left"/>
        <w:rPr>
          <w:rFonts w:hint="eastAsia" w:hAnsi="宋体" w:eastAsia="仿宋_GB2312" w:cs="宋体"/>
          <w:kern w:val="0"/>
          <w:sz w:val="36"/>
          <w:szCs w:val="36"/>
          <w:lang w:eastAsia="zh-CN"/>
        </w:rPr>
      </w:pPr>
    </w:p>
    <w:p w14:paraId="55943E83">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克州工信局</w:t>
      </w:r>
    </w:p>
    <w:p w14:paraId="1889C8A3">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1CE231FB">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7345490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CA82B5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州工业和信息化局贯彻落实自治区工业和信息化的法律和方针决策，提出自治州工业和信息化发展规划和政策建议；拟定工业和信息化发展的综合性法规、规章、政策，并组织实施和监督检查；推进信息化和工业化融合。拟定工业和信息化发展规划；根据国家和自治区产业政策，拟定自治州产业政策，并组织实施和监督检查；指导产业合理布局和结构调整；组织协调重点产业调整和高质量规划的拟定和实施等等。</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克孜勒苏柯尔克孜自治州工业和信息化局无下属预算单位，下设9个科室，分别是：办公室、综合科、经济运行科、投资规划科、企业科、经济协作科、环境和资源综合利用科、信息化办公室、行业管理科。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克孜勒苏柯尔克孜自治州工业和信息化局编制数29人，实有人数69人，其中：在职30人，减少3人； 退休38人，减少3人；离休1人，减少0人。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精心谋划举措，扎实推进</w:t>
      </w:r>
      <w:r>
        <w:rPr>
          <w:rFonts w:hint="eastAsia" w:ascii="仿宋_GB2312" w:hAnsi="宋体" w:eastAsia="仿宋_GB2312"/>
          <w:b w:val="0"/>
          <w:bCs/>
          <w:sz w:val="32"/>
          <w:szCs w:val="32"/>
          <w:lang w:eastAsia="zh-CN"/>
        </w:rPr>
        <w:t>党史学习教育</w:t>
      </w:r>
      <w:r>
        <w:rPr>
          <w:rFonts w:hint="eastAsia" w:ascii="仿宋_GB2312" w:hAnsi="宋体" w:eastAsia="仿宋_GB2312"/>
          <w:b w:val="0"/>
          <w:bCs/>
          <w:sz w:val="32"/>
          <w:szCs w:val="32"/>
        </w:rPr>
        <w:t xml:space="preserve">开展；常态化做好社会稳定和平安创建工作；狠抓组织建设，建强战斗堡垒；加强监督执纪问责，推进干部队伍作风建设；凝心聚力，持续推进“访惠聚”和结对联建工作；常态化做好机关疫情防控工作；民族团结进步事业有序推进；狠抓工业和信息化各项工作，推动工业经济高质量发展。 </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工业和信息化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（2）收支管理：领导层是本单位收支业务管理的决策部门，负责审批单位收支业务等事项。涉及“三重一大”事项，根据《克州工业和信息化局集体决策制度》和《克州工业和信息化局项目管理办法》办理。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工业和信息化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工业和信息化局合同管理办法》相关规定，克州工业和信息化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620.79 万元，项目支出安排资金229.68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本单位2021年度项目支出229.68万元，涉及项目数量5个，其中：重点项目支出200万元，涉及重点项目数量1个，重点项目支出与部门项目总支出的比率为87.07%。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2021年度本单位年初批复部门预算资金总额为554.62万元，年中调增预算总额为295.84万元，调整后全年预算资金总额为850.46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2021年度本单位部门整体支出资金总额为850.46万元，预算执行率为100%，预算调整率为</w:t>
      </w:r>
      <w:r>
        <w:rPr>
          <w:rFonts w:hint="eastAsia" w:ascii="仿宋_GB2312" w:hAnsi="宋体" w:eastAsia="仿宋_GB2312"/>
          <w:b w:val="0"/>
          <w:bCs/>
          <w:sz w:val="32"/>
          <w:szCs w:val="32"/>
          <w:lang w:val="en-US" w:eastAsia="zh-CN"/>
        </w:rPr>
        <w:t>53.34</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年初政府采购预算数为19.40万元，实际政府采购数为241.03万元，政府采购执行率为1242.42%。</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42F5779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2B8C647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为加强我单位预算管理、规范财务行为我单位制定了《克州工业和信息化局内部控制规范》《克州工业和信息化局项目管理规范》等资金管理制度，已建立制度均健全且有效运行。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2021年度我单位基本支出预算总额为620.79 万元，其中人员经费569.92 万元，公用经费50.87 万元。实际执行总额为620.79万元，预算执行率100%。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9.95万元，比上年减少0.20万元，减少1.96%，主要原因是：按照厉行节约的要求，2021年缩减公务车运行维护费，因此支出随之减少。其中，因公出国（境）费支出0万元；公务用车购置及运行维护费支出6.95万元；公务接待费支出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与年初预算数相比情况：一般公共预算“三公”经费支出年初预算数10万元，预算执行数为9.95万元，执行率为99.50%，主要原因是：按照厉行节约的要求，2021年缩减公务车运行维护费，因此支出随之减少。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2021年度本单位项目支出预算总额为229.77万元，实际执行资金总额为229.68万元，预算执行率为99.96%。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2021年度预算安排专项资金19.77万元，实际支出资金19.77万元，预算执行率为100%，涉及项目个数1个。专项经费按照政策要求实行专款专用，不存在截留、挤占、挪用、虚列支出。各项目详细执行情况如下：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第一书记为民办实事经费项目:全年预算数为19.77万元，预算执行数为19.77万元，预算执行率为100%。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2021年度预算安排本级财力资金210万元，实际支出资金209.91万元，预算执行率为99.96%，涉及项目个数3个，各项目详细执行情况如下：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农机精简厂工资及医保项目:全年预算数为6.2万元，预算执行数为5.49万元，预算执行率为88.60%。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群众工作经费项目:全年预算数为10万元，预算执行数为9.91万元，预算执行率为99.09%。</w:t>
      </w:r>
      <w:r>
        <w:rPr>
          <w:rFonts w:hint="eastAsia" w:ascii="仿宋_GB2312" w:hAnsi="宋体" w:eastAsia="仿宋_GB2312"/>
          <w:b w:val="0"/>
          <w:bCs/>
          <w:sz w:val="32"/>
          <w:szCs w:val="32"/>
        </w:rPr>
        <w:cr/>
      </w:r>
      <w:r>
        <w:rPr>
          <w:rFonts w:hint="eastAsia" w:ascii="仿宋_GB2312" w:hAnsi="宋体" w:eastAsia="仿宋_GB2312"/>
          <w:b w:val="0"/>
          <w:bCs/>
          <w:sz w:val="32"/>
          <w:szCs w:val="32"/>
        </w:rPr>
        <w:t>　　新疆苏援投资发展有限公司开办费项目:全年预算数为200万元，预算执行数为200万元，预算执行率为100%。</w:t>
      </w:r>
    </w:p>
    <w:p w14:paraId="26A0F2F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F86CB0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17万元，资金全部到位，实际使用资金17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①制订《克州工业和信息化局经费使用规范》,为合理合规使用经费提供了有力的制度保障。同时,建立区委组织部项目经费内部管控制度，并严格按要求落实。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14:paraId="4BCC919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013033A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本单位2021年初资产合计数为65.86万元，年末资产合计数为223.26万元。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截止本年度固定资产账面净值62.86万元，年末实际在用固定资产62.86万元，固定资产利用率为100%。</w:t>
      </w:r>
    </w:p>
    <w:p w14:paraId="327071F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733EDCB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部门单位整体支出共设置一级指标3个，二级指标7个，三级指标12个，其中已完成三级指标12个，指标完成率为100%。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“工业增加值增长（%）”指标：预期指标值为=10%，实际完成指标值为10%，指标完成率为100%。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“电信业务总量同比增长（%）”指标：预期指标值为=60.40%，实际完成指标值为60.40%，指标完成率为100%。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“天然气需求量（立方）”指标：预期指标值为=24352.90立方，实际完成指标值为24352.90立方，指标完成率为100%。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“考核合格率”指标：预期指标值为&gt;=90%，实际完成指标值为90%，指标完成率为100%。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“人员经费”指标：预期指标值为=477.58万元，实际完成指标值为477.58万元，指标完成率为100%。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“公用经费”指标：预期指标值为=43.82万元，实际完成指标值为43.82万元，指标完成率为100%。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“项目经费”指标：预期指标值为=33.20万元，实际完成指标值为33.20万元，指标完成率为100%。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“确保促进工业企业降耗”指标：预期指标值为持续改善，实际完成指标值为持续改善，指标完成率为100%。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“满足日常工作需要”指标：预期指标值为长期，实际完成指标值为长期，指标完成率为100%。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“企业工作满意度（%）”指标：预期指标值为&gt;=95%，实际完成指标值为95%，指标完成率为100%。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“工作人员满意度（%）”指标：预期指标值为&gt;=95%，实际完成指标值为95%，指标完成率为100%。</w:t>
      </w:r>
    </w:p>
    <w:p w14:paraId="2F9B5C5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0938A7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654DBF0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7D29EC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53D231E"/>
    <w:rsid w:val="06696209"/>
    <w:rsid w:val="0D1922F1"/>
    <w:rsid w:val="108622B3"/>
    <w:rsid w:val="1438599A"/>
    <w:rsid w:val="1C1C1262"/>
    <w:rsid w:val="200F4073"/>
    <w:rsid w:val="24B86128"/>
    <w:rsid w:val="371044C8"/>
    <w:rsid w:val="3DCD192F"/>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8988</Words>
  <Characters>9456</Characters>
  <Lines>2</Lines>
  <Paragraphs>1</Paragraphs>
  <TotalTime>28</TotalTime>
  <ScaleCrop>false</ScaleCrop>
  <LinksUpToDate>false</LinksUpToDate>
  <CharactersWithSpaces>9744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2025-07-31T03:20:28Z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